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DE75" w14:textId="371641CF" w:rsidR="00CA4F61" w:rsidRPr="005B32D7" w:rsidRDefault="00CA4F61" w:rsidP="007C1909">
      <w:pPr>
        <w:jc w:val="both"/>
        <w:rPr>
          <w:rFonts w:ascii="Aptos" w:hAnsi="Aptos" w:cs="Calibri"/>
          <w:b/>
          <w:bCs/>
          <w:color w:val="002060"/>
          <w:sz w:val="32"/>
          <w:szCs w:val="32"/>
        </w:rPr>
      </w:pPr>
      <w:r w:rsidRPr="005B32D7">
        <w:rPr>
          <w:rFonts w:ascii="Aptos" w:eastAsia="Calibri" w:hAnsi="Aptos" w:cs="Calibri"/>
          <w:b/>
          <w:bCs/>
          <w:noProof/>
          <w:color w:val="002060"/>
          <w:sz w:val="32"/>
          <w:szCs w:val="32"/>
          <w:lang w:val="en-US"/>
        </w:rPr>
        <w:drawing>
          <wp:anchor distT="0" distB="0" distL="114300" distR="114300" simplePos="0" relativeHeight="251659264" behindDoc="0" locked="0" layoutInCell="1" allowOverlap="1" wp14:anchorId="6BE76A0E" wp14:editId="2DE37618">
            <wp:simplePos x="0" y="0"/>
            <wp:positionH relativeFrom="margin">
              <wp:posOffset>4561205</wp:posOffset>
            </wp:positionH>
            <wp:positionV relativeFrom="paragraph">
              <wp:posOffset>-241935</wp:posOffset>
            </wp:positionV>
            <wp:extent cx="1567191" cy="791736"/>
            <wp:effectExtent l="0" t="0" r="0" b="0"/>
            <wp:wrapNone/>
            <wp:docPr id="1073741825" name="officeArt object" descr="logo sin-11x6-def.jpg"/>
            <wp:cNvGraphicFramePr/>
            <a:graphic xmlns:a="http://schemas.openxmlformats.org/drawingml/2006/main">
              <a:graphicData uri="http://schemas.openxmlformats.org/drawingml/2006/picture">
                <pic:pic xmlns:pic="http://schemas.openxmlformats.org/drawingml/2006/picture">
                  <pic:nvPicPr>
                    <pic:cNvPr id="1073741825" name="logo sin-11x6-def.jpg" descr="logo sin-11x6-def.jpg"/>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7191" cy="791736"/>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E434E0E" w14:textId="77777777" w:rsidR="00CA4F61" w:rsidRPr="005B32D7" w:rsidRDefault="00CA4F61" w:rsidP="007C1909">
      <w:pPr>
        <w:jc w:val="both"/>
        <w:rPr>
          <w:rFonts w:ascii="Aptos" w:hAnsi="Aptos" w:cs="Calibri"/>
          <w:b/>
          <w:bCs/>
          <w:color w:val="002060"/>
          <w:sz w:val="32"/>
          <w:szCs w:val="32"/>
        </w:rPr>
      </w:pPr>
    </w:p>
    <w:p w14:paraId="440C0DC9" w14:textId="77777777" w:rsidR="00CA4F61" w:rsidRPr="005B32D7" w:rsidRDefault="00CA4F61" w:rsidP="007C1909">
      <w:pPr>
        <w:jc w:val="both"/>
        <w:rPr>
          <w:rFonts w:ascii="Aptos" w:hAnsi="Aptos" w:cs="Calibri"/>
          <w:b/>
          <w:bCs/>
          <w:color w:val="002060"/>
          <w:sz w:val="32"/>
          <w:szCs w:val="32"/>
        </w:rPr>
      </w:pPr>
    </w:p>
    <w:p w14:paraId="7FF84C80" w14:textId="77777777" w:rsidR="00792E87" w:rsidRPr="0046255C" w:rsidRDefault="00792E87" w:rsidP="005378CA">
      <w:pPr>
        <w:widowControl w:val="0"/>
        <w:jc w:val="both"/>
        <w:rPr>
          <w:rFonts w:ascii="Aptos" w:eastAsia="Calibri" w:hAnsi="Aptos" w:cs="Times New Roman"/>
          <w:b/>
          <w:bCs/>
          <w:sz w:val="22"/>
          <w:szCs w:val="22"/>
        </w:rPr>
      </w:pPr>
    </w:p>
    <w:p w14:paraId="643E8A1F" w14:textId="77777777" w:rsidR="0010568A" w:rsidRPr="0046255C" w:rsidRDefault="0010568A" w:rsidP="003B030A">
      <w:pPr>
        <w:jc w:val="both"/>
        <w:rPr>
          <w:rFonts w:ascii="Aptos" w:hAnsi="Aptos"/>
          <w:b/>
          <w:bCs/>
          <w:sz w:val="26"/>
          <w:szCs w:val="26"/>
        </w:rPr>
      </w:pPr>
    </w:p>
    <w:p w14:paraId="41D5AF89" w14:textId="64BC41EB" w:rsidR="002B3BBF" w:rsidRPr="0046255C" w:rsidRDefault="003B6DE0" w:rsidP="002B3BBF">
      <w:pPr>
        <w:jc w:val="both"/>
        <w:rPr>
          <w:rFonts w:eastAsia="Aptos" w:cstheme="minorHAnsi"/>
          <w:i/>
          <w:iCs/>
          <w:kern w:val="2"/>
          <w:sz w:val="26"/>
          <w:szCs w:val="26"/>
          <w14:ligatures w14:val="standardContextual"/>
        </w:rPr>
      </w:pPr>
      <w:r w:rsidRPr="0046255C">
        <w:rPr>
          <w:rFonts w:eastAsia="Aptos" w:cstheme="minorHAnsi"/>
          <w:b/>
          <w:bCs/>
          <w:kern w:val="2"/>
          <w:sz w:val="26"/>
          <w:szCs w:val="26"/>
          <w14:ligatures w14:val="standardContextual"/>
        </w:rPr>
        <w:t>INFEZIONI NEONATALI ANCORA TROPPO DIFFUSE</w:t>
      </w:r>
      <w:r w:rsidR="002B3BBF" w:rsidRPr="0046255C">
        <w:rPr>
          <w:rFonts w:eastAsia="Aptos" w:cstheme="minorHAnsi"/>
          <w:b/>
          <w:bCs/>
          <w:kern w:val="2"/>
          <w:sz w:val="26"/>
          <w:szCs w:val="26"/>
          <w14:ligatures w14:val="standardContextual"/>
        </w:rPr>
        <w:t xml:space="preserve"> </w:t>
      </w:r>
    </w:p>
    <w:p w14:paraId="7B479D14" w14:textId="00C45AA9" w:rsidR="00390A30" w:rsidRPr="0046255C" w:rsidRDefault="003B6DE0" w:rsidP="00390A30">
      <w:pPr>
        <w:jc w:val="both"/>
        <w:rPr>
          <w:rFonts w:eastAsia="Aptos" w:cstheme="minorHAnsi"/>
          <w:kern w:val="2"/>
          <w:sz w:val="26"/>
          <w:szCs w:val="26"/>
          <w14:ligatures w14:val="standardContextual"/>
        </w:rPr>
      </w:pPr>
      <w:r w:rsidRPr="0046255C">
        <w:rPr>
          <w:rFonts w:eastAsia="Aptos" w:cstheme="minorHAnsi"/>
          <w:i/>
          <w:iCs/>
          <w:kern w:val="2"/>
          <w:sz w:val="26"/>
          <w:szCs w:val="26"/>
          <w14:ligatures w14:val="standardContextual"/>
        </w:rPr>
        <w:t>Prevenzione,</w:t>
      </w:r>
      <w:r w:rsidR="00143644" w:rsidRPr="0046255C">
        <w:rPr>
          <w:rFonts w:eastAsia="Aptos" w:cstheme="minorHAnsi"/>
          <w:i/>
          <w:iCs/>
          <w:kern w:val="2"/>
          <w:sz w:val="26"/>
          <w:szCs w:val="26"/>
          <w14:ligatures w14:val="standardContextual"/>
        </w:rPr>
        <w:t xml:space="preserve"> controllo</w:t>
      </w:r>
      <w:r w:rsidRPr="0046255C">
        <w:rPr>
          <w:rFonts w:eastAsia="Aptos" w:cstheme="minorHAnsi"/>
          <w:i/>
          <w:iCs/>
          <w:kern w:val="2"/>
          <w:sz w:val="26"/>
          <w:szCs w:val="26"/>
          <w14:ligatures w14:val="standardContextual"/>
        </w:rPr>
        <w:t xml:space="preserve"> e interventi precoci la strada da percorrere per la Società Italiana di Neonatologia </w:t>
      </w:r>
      <w:r w:rsidR="00143644" w:rsidRPr="0046255C">
        <w:rPr>
          <w:rFonts w:eastAsia="Aptos" w:cstheme="minorHAnsi"/>
          <w:i/>
          <w:iCs/>
          <w:kern w:val="2"/>
          <w:sz w:val="26"/>
          <w:szCs w:val="26"/>
          <w14:ligatures w14:val="standardContextual"/>
        </w:rPr>
        <w:t>per ridurre i casi</w:t>
      </w:r>
    </w:p>
    <w:p w14:paraId="0A75856F" w14:textId="77777777" w:rsidR="002B3BBF" w:rsidRPr="0046255C" w:rsidRDefault="002B3BBF" w:rsidP="002B3BBF">
      <w:pPr>
        <w:jc w:val="both"/>
        <w:rPr>
          <w:rFonts w:eastAsia="Aptos" w:cstheme="minorHAnsi"/>
          <w:kern w:val="2"/>
          <w:sz w:val="22"/>
          <w:szCs w:val="22"/>
          <w14:ligatures w14:val="standardContextual"/>
        </w:rPr>
      </w:pPr>
    </w:p>
    <w:p w14:paraId="6780E065" w14:textId="77777777" w:rsidR="002B3BBF" w:rsidRPr="0046255C" w:rsidRDefault="002B3BBF" w:rsidP="002B3BBF">
      <w:pPr>
        <w:jc w:val="both"/>
        <w:rPr>
          <w:rFonts w:eastAsia="Aptos" w:cstheme="minorHAnsi"/>
          <w:kern w:val="2"/>
          <w:sz w:val="22"/>
          <w:szCs w:val="22"/>
          <w14:ligatures w14:val="standardContextual"/>
        </w:rPr>
      </w:pPr>
    </w:p>
    <w:p w14:paraId="66D80658" w14:textId="3AB24AEC" w:rsidR="00854031" w:rsidRPr="0046255C" w:rsidRDefault="002B3BBF"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t>La sepsi si determina quando la risposta immunitaria dell’organismo a un’infezione è tale da danneggiare organi e tessuti</w:t>
      </w:r>
      <w:r w:rsidR="00164428" w:rsidRPr="0046255C">
        <w:rPr>
          <w:rFonts w:eastAsia="Aptos" w:cstheme="minorHAnsi"/>
          <w:kern w:val="2"/>
          <w:sz w:val="22"/>
          <w:szCs w:val="22"/>
          <w14:ligatures w14:val="standardContextual"/>
        </w:rPr>
        <w:t>,</w:t>
      </w:r>
      <w:r w:rsidRPr="0046255C">
        <w:rPr>
          <w:rFonts w:eastAsia="Aptos" w:cstheme="minorHAnsi"/>
          <w:kern w:val="2"/>
          <w:sz w:val="22"/>
          <w:szCs w:val="22"/>
          <w14:ligatures w14:val="standardContextual"/>
        </w:rPr>
        <w:t xml:space="preserve"> portando a shock e insufficienza multiorgano, fino anche al decesso. </w:t>
      </w:r>
    </w:p>
    <w:p w14:paraId="562D5EB4" w14:textId="003DD956" w:rsidR="002B3BBF" w:rsidRPr="0046255C" w:rsidRDefault="002B3BBF"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t xml:space="preserve">Ogni anno si verificano </w:t>
      </w:r>
      <w:r w:rsidR="00E54976" w:rsidRPr="0046255C">
        <w:rPr>
          <w:rFonts w:eastAsia="Aptos" w:cstheme="minorHAnsi"/>
          <w:kern w:val="2"/>
          <w:sz w:val="22"/>
          <w:szCs w:val="22"/>
          <w14:ligatures w14:val="standardContextual"/>
        </w:rPr>
        <w:t xml:space="preserve">nel mondo </w:t>
      </w:r>
      <w:r w:rsidRPr="0046255C">
        <w:rPr>
          <w:rFonts w:eastAsia="Aptos" w:cstheme="minorHAnsi"/>
          <w:kern w:val="2"/>
          <w:sz w:val="22"/>
          <w:szCs w:val="22"/>
          <w14:ligatures w14:val="standardContextual"/>
        </w:rPr>
        <w:t xml:space="preserve">oltre </w:t>
      </w:r>
      <w:r w:rsidRPr="0046255C">
        <w:rPr>
          <w:rFonts w:eastAsia="Aptos" w:cstheme="minorHAnsi"/>
          <w:b/>
          <w:bCs/>
          <w:kern w:val="2"/>
          <w:sz w:val="22"/>
          <w:szCs w:val="22"/>
          <w14:ligatures w14:val="standardContextual"/>
        </w:rPr>
        <w:t>45 milioni di casi di sepsi</w:t>
      </w:r>
      <w:r w:rsidR="0046255C">
        <w:rPr>
          <w:rFonts w:eastAsia="Aptos" w:cstheme="minorHAnsi"/>
          <w:b/>
          <w:bCs/>
          <w:kern w:val="2"/>
          <w:sz w:val="22"/>
          <w:szCs w:val="22"/>
          <w14:ligatures w14:val="standardContextual"/>
        </w:rPr>
        <w:t>,</w:t>
      </w:r>
      <w:r w:rsidRPr="0046255C">
        <w:rPr>
          <w:rFonts w:eastAsia="Aptos" w:cstheme="minorHAnsi"/>
          <w:kern w:val="2"/>
          <w:sz w:val="22"/>
          <w:szCs w:val="22"/>
          <w14:ligatures w14:val="standardContextual"/>
        </w:rPr>
        <w:t xml:space="preserve"> determinando almeno </w:t>
      </w:r>
      <w:r w:rsidRPr="0046255C">
        <w:rPr>
          <w:rFonts w:eastAsia="Aptos" w:cstheme="minorHAnsi"/>
          <w:b/>
          <w:bCs/>
          <w:kern w:val="2"/>
          <w:sz w:val="22"/>
          <w:szCs w:val="22"/>
          <w14:ligatures w14:val="standardContextual"/>
        </w:rPr>
        <w:t>11 milioni di decessi</w:t>
      </w:r>
      <w:r w:rsidRPr="0046255C">
        <w:rPr>
          <w:rFonts w:eastAsia="Aptos" w:cstheme="minorHAnsi"/>
          <w:kern w:val="2"/>
          <w:sz w:val="22"/>
          <w:szCs w:val="22"/>
          <w14:ligatures w14:val="standardContextual"/>
        </w:rPr>
        <w:t xml:space="preserve">. La sepsi è non soltanto la principale causa di decesso in ospedale, ma anche la principale causa di costi per i servizi sanitari. </w:t>
      </w:r>
    </w:p>
    <w:p w14:paraId="766D3F1E" w14:textId="77777777" w:rsidR="002B3BBF" w:rsidRPr="0046255C" w:rsidRDefault="002B3BBF" w:rsidP="002B3BBF">
      <w:pPr>
        <w:jc w:val="both"/>
        <w:rPr>
          <w:rFonts w:eastAsia="Aptos" w:cstheme="minorHAnsi"/>
          <w:kern w:val="2"/>
          <w:sz w:val="22"/>
          <w:szCs w:val="22"/>
          <w14:ligatures w14:val="standardContextual"/>
        </w:rPr>
      </w:pPr>
    </w:p>
    <w:p w14:paraId="476A999E" w14:textId="15EFB7D2" w:rsidR="002B3BBF" w:rsidRPr="0046255C" w:rsidRDefault="002B3BBF"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t xml:space="preserve">Il 13 settembre ricorre il </w:t>
      </w:r>
      <w:r w:rsidRPr="0046255C">
        <w:rPr>
          <w:rFonts w:eastAsia="Aptos" w:cstheme="minorHAnsi"/>
          <w:b/>
          <w:bCs/>
          <w:kern w:val="2"/>
          <w:sz w:val="22"/>
          <w:szCs w:val="22"/>
          <w14:ligatures w14:val="standardContextual"/>
        </w:rPr>
        <w:t xml:space="preserve">World </w:t>
      </w:r>
      <w:proofErr w:type="spellStart"/>
      <w:r w:rsidRPr="0046255C">
        <w:rPr>
          <w:rFonts w:eastAsia="Aptos" w:cstheme="minorHAnsi"/>
          <w:b/>
          <w:bCs/>
          <w:kern w:val="2"/>
          <w:sz w:val="22"/>
          <w:szCs w:val="22"/>
          <w14:ligatures w14:val="standardContextual"/>
        </w:rPr>
        <w:t>Sepsis</w:t>
      </w:r>
      <w:proofErr w:type="spellEnd"/>
      <w:r w:rsidRPr="0046255C">
        <w:rPr>
          <w:rFonts w:eastAsia="Aptos" w:cstheme="minorHAnsi"/>
          <w:b/>
          <w:bCs/>
          <w:kern w:val="2"/>
          <w:sz w:val="22"/>
          <w:szCs w:val="22"/>
          <w14:ligatures w14:val="standardContextual"/>
        </w:rPr>
        <w:t xml:space="preserve"> Day</w:t>
      </w:r>
      <w:r w:rsidRPr="0046255C">
        <w:rPr>
          <w:rFonts w:eastAsia="Aptos" w:cstheme="minorHAnsi"/>
          <w:kern w:val="2"/>
          <w:sz w:val="22"/>
          <w:szCs w:val="22"/>
          <w14:ligatures w14:val="standardContextual"/>
        </w:rPr>
        <w:t>, c</w:t>
      </w:r>
      <w:r w:rsidR="00854031" w:rsidRPr="0046255C">
        <w:rPr>
          <w:rFonts w:eastAsia="Aptos" w:cstheme="minorHAnsi"/>
          <w:kern w:val="2"/>
          <w:sz w:val="22"/>
          <w:szCs w:val="22"/>
          <w14:ligatures w14:val="standardContextual"/>
        </w:rPr>
        <w:t>he ha</w:t>
      </w:r>
      <w:r w:rsidRPr="0046255C">
        <w:rPr>
          <w:rFonts w:eastAsia="Aptos" w:cstheme="minorHAnsi"/>
          <w:kern w:val="2"/>
          <w:sz w:val="22"/>
          <w:szCs w:val="22"/>
          <w14:ligatures w14:val="standardContextual"/>
        </w:rPr>
        <w:t xml:space="preserve"> l’obiettivo di aumentare la conoscenza e la consapevolezza, sia negli operatori sanitari, che </w:t>
      </w:r>
      <w:r w:rsidR="00E54976" w:rsidRPr="0046255C">
        <w:rPr>
          <w:rFonts w:eastAsia="Aptos" w:cstheme="minorHAnsi"/>
          <w:kern w:val="2"/>
          <w:sz w:val="22"/>
          <w:szCs w:val="22"/>
          <w14:ligatures w14:val="standardContextual"/>
        </w:rPr>
        <w:t>n</w:t>
      </w:r>
      <w:r w:rsidRPr="0046255C">
        <w:rPr>
          <w:rFonts w:eastAsia="Aptos" w:cstheme="minorHAnsi"/>
          <w:kern w:val="2"/>
          <w:sz w:val="22"/>
          <w:szCs w:val="22"/>
          <w14:ligatures w14:val="standardContextual"/>
        </w:rPr>
        <w:t>ell’opinione pubblica, del grave rischio rappresentato dalle sepsi e promuovere e incrementare la corretta adesione alle misure di prevenzione e controllo delle infezioni</w:t>
      </w:r>
      <w:r w:rsidR="00E54976" w:rsidRPr="0046255C">
        <w:rPr>
          <w:rFonts w:eastAsia="Aptos" w:cstheme="minorHAnsi"/>
          <w:kern w:val="2"/>
          <w:sz w:val="22"/>
          <w:szCs w:val="22"/>
          <w14:ligatures w14:val="standardContextual"/>
        </w:rPr>
        <w:t>, per garantire una progressiva riduzione dei casi e degli esiti ad ess</w:t>
      </w:r>
      <w:r w:rsidR="00164428" w:rsidRPr="0046255C">
        <w:rPr>
          <w:rFonts w:eastAsia="Aptos" w:cstheme="minorHAnsi"/>
          <w:kern w:val="2"/>
          <w:sz w:val="22"/>
          <w:szCs w:val="22"/>
          <w14:ligatures w14:val="standardContextual"/>
        </w:rPr>
        <w:t>i</w:t>
      </w:r>
      <w:r w:rsidR="00E54976" w:rsidRPr="0046255C">
        <w:rPr>
          <w:rFonts w:eastAsia="Aptos" w:cstheme="minorHAnsi"/>
          <w:kern w:val="2"/>
          <w:sz w:val="22"/>
          <w:szCs w:val="22"/>
          <w14:ligatures w14:val="standardContextual"/>
        </w:rPr>
        <w:t xml:space="preserve"> correlati.</w:t>
      </w:r>
    </w:p>
    <w:p w14:paraId="4770FDD6" w14:textId="77777777" w:rsidR="00E54976" w:rsidRPr="0046255C" w:rsidRDefault="00E54976" w:rsidP="00E54976">
      <w:pPr>
        <w:jc w:val="both"/>
        <w:rPr>
          <w:rFonts w:eastAsia="Aptos" w:cstheme="minorHAnsi"/>
          <w:kern w:val="2"/>
          <w:sz w:val="22"/>
          <w:szCs w:val="22"/>
          <w14:ligatures w14:val="standardContextual"/>
        </w:rPr>
      </w:pPr>
    </w:p>
    <w:p w14:paraId="3A455A29" w14:textId="77251665" w:rsidR="00E54976" w:rsidRPr="0046255C" w:rsidRDefault="00E54976" w:rsidP="00E54976">
      <w:pPr>
        <w:jc w:val="both"/>
        <w:rPr>
          <w:rFonts w:eastAsia="Aptos" w:cstheme="minorHAnsi"/>
          <w:i/>
          <w:iCs/>
          <w:kern w:val="2"/>
          <w:sz w:val="22"/>
          <w:szCs w:val="22"/>
          <w14:ligatures w14:val="standardContextual"/>
        </w:rPr>
      </w:pPr>
      <w:r w:rsidRPr="0046255C">
        <w:rPr>
          <w:rFonts w:eastAsia="Aptos" w:cstheme="minorHAnsi"/>
          <w:i/>
          <w:iCs/>
          <w:kern w:val="2"/>
          <w:sz w:val="22"/>
          <w:szCs w:val="22"/>
          <w14:ligatures w14:val="standardContextual"/>
        </w:rPr>
        <w:t xml:space="preserve">“I neonati, e in particolare quelli prematuri, di </w:t>
      </w:r>
      <w:r w:rsidR="005B32D7" w:rsidRPr="0046255C">
        <w:rPr>
          <w:rFonts w:eastAsia="Aptos" w:cstheme="minorHAnsi"/>
          <w:i/>
          <w:iCs/>
          <w:kern w:val="2"/>
          <w:sz w:val="22"/>
          <w:szCs w:val="22"/>
          <w14:ligatures w14:val="standardContextual"/>
        </w:rPr>
        <w:t>peso molto basso</w:t>
      </w:r>
      <w:r w:rsidRPr="0046255C">
        <w:rPr>
          <w:rFonts w:eastAsia="Aptos" w:cstheme="minorHAnsi"/>
          <w:i/>
          <w:iCs/>
          <w:kern w:val="2"/>
          <w:sz w:val="22"/>
          <w:szCs w:val="22"/>
          <w14:ligatures w14:val="standardContextual"/>
        </w:rPr>
        <w:t xml:space="preserve"> alla nascita e ricoverati in Terapia Intensiva Neonatale (TIN), rappresentano la categoria di pazienti più vulnerabili e più esposti alle infezioni”, </w:t>
      </w:r>
      <w:r w:rsidRPr="0046255C">
        <w:rPr>
          <w:rFonts w:eastAsia="Aptos" w:cstheme="minorHAnsi"/>
          <w:kern w:val="2"/>
          <w:sz w:val="22"/>
          <w:szCs w:val="22"/>
          <w14:ligatures w14:val="standardContextual"/>
        </w:rPr>
        <w:t>afferma il Prof. Massimo Agosti, Presidente della Società Italiana di Neonatologia (SIN).</w:t>
      </w:r>
      <w:r w:rsidRPr="0046255C">
        <w:rPr>
          <w:rFonts w:eastAsia="Aptos" w:cstheme="minorHAnsi"/>
          <w:i/>
          <w:iCs/>
          <w:kern w:val="2"/>
          <w:sz w:val="22"/>
          <w:szCs w:val="22"/>
          <w14:ligatures w14:val="standardContextual"/>
        </w:rPr>
        <w:t xml:space="preserve"> “Dobbiamo investire nella prevenzione, nella continua formazione degli operatori sanitari, ma anche nell’informazione ai genitori, individuando tempestivamente i casi</w:t>
      </w:r>
      <w:r w:rsidR="00027E4E" w:rsidRPr="0046255C">
        <w:rPr>
          <w:rFonts w:eastAsia="Aptos" w:cstheme="minorHAnsi"/>
          <w:i/>
          <w:iCs/>
          <w:kern w:val="2"/>
          <w:sz w:val="22"/>
          <w:szCs w:val="22"/>
          <w14:ligatures w14:val="standardContextual"/>
        </w:rPr>
        <w:t>, per interventi precoci che ne riducano la gravità e la diffusione”.</w:t>
      </w:r>
    </w:p>
    <w:p w14:paraId="55E57D8B" w14:textId="77777777" w:rsidR="002B3BBF" w:rsidRPr="0046255C" w:rsidRDefault="002B3BBF" w:rsidP="002B3BBF">
      <w:pPr>
        <w:jc w:val="both"/>
        <w:rPr>
          <w:rFonts w:eastAsia="Aptos" w:cstheme="minorHAnsi"/>
          <w:kern w:val="2"/>
          <w:sz w:val="22"/>
          <w:szCs w:val="22"/>
          <w14:ligatures w14:val="standardContextual"/>
        </w:rPr>
      </w:pPr>
    </w:p>
    <w:p w14:paraId="2C349A7C" w14:textId="56955D5D" w:rsidR="002B3BBF" w:rsidRPr="0046255C" w:rsidRDefault="002B3BBF"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t>I neonati sono particolarmente suscettibili alle infezioni a causa della non completa maturazione del sistema immunitario che li rende meno capaci di difendersi dagli agenti patogeni e di circoscrivere l’infezione stessa, che può</w:t>
      </w:r>
      <w:r w:rsidR="00027E4E" w:rsidRPr="0046255C">
        <w:rPr>
          <w:rFonts w:eastAsia="Aptos" w:cstheme="minorHAnsi"/>
          <w:kern w:val="2"/>
          <w:sz w:val="22"/>
          <w:szCs w:val="22"/>
          <w14:ligatures w14:val="standardContextual"/>
        </w:rPr>
        <w:t>,</w:t>
      </w:r>
      <w:r w:rsidRPr="0046255C">
        <w:rPr>
          <w:rFonts w:eastAsia="Aptos" w:cstheme="minorHAnsi"/>
          <w:kern w:val="2"/>
          <w:sz w:val="22"/>
          <w:szCs w:val="22"/>
          <w14:ligatures w14:val="standardContextual"/>
        </w:rPr>
        <w:t xml:space="preserve"> quindi</w:t>
      </w:r>
      <w:r w:rsidR="00027E4E" w:rsidRPr="0046255C">
        <w:rPr>
          <w:rFonts w:eastAsia="Aptos" w:cstheme="minorHAnsi"/>
          <w:kern w:val="2"/>
          <w:sz w:val="22"/>
          <w:szCs w:val="22"/>
          <w14:ligatures w14:val="standardContextual"/>
        </w:rPr>
        <w:t>,</w:t>
      </w:r>
      <w:r w:rsidRPr="0046255C">
        <w:rPr>
          <w:rFonts w:eastAsia="Aptos" w:cstheme="minorHAnsi"/>
          <w:kern w:val="2"/>
          <w:sz w:val="22"/>
          <w:szCs w:val="22"/>
          <w14:ligatures w14:val="standardContextual"/>
        </w:rPr>
        <w:t xml:space="preserve"> rapidamente diventare generalizzata. I primi 30 giorni presentano il rischio più elevato di sviluppare una sepsi nell’arco della vita. Il rischio è tanto maggiore</w:t>
      </w:r>
      <w:r w:rsidR="00027E4E" w:rsidRPr="0046255C">
        <w:rPr>
          <w:rFonts w:eastAsia="Aptos" w:cstheme="minorHAnsi"/>
          <w:kern w:val="2"/>
          <w:sz w:val="22"/>
          <w:szCs w:val="22"/>
          <w14:ligatures w14:val="standardContextual"/>
        </w:rPr>
        <w:t xml:space="preserve"> </w:t>
      </w:r>
      <w:r w:rsidRPr="0046255C">
        <w:rPr>
          <w:rFonts w:eastAsia="Aptos" w:cstheme="minorHAnsi"/>
          <w:kern w:val="2"/>
          <w:sz w:val="22"/>
          <w:szCs w:val="22"/>
          <w14:ligatures w14:val="standardContextual"/>
        </w:rPr>
        <w:t>quanto più il neonato nasce prematuramente e tanto minore è il suo peso alla nascita. Pur in assenza di dati globali sull’incidenza della sepsi neonatale nel mondo e sulla mortalità ad</w:t>
      </w:r>
      <w:r w:rsidR="0056459A" w:rsidRPr="0046255C">
        <w:rPr>
          <w:rFonts w:eastAsia="Aptos" w:cstheme="minorHAnsi"/>
          <w:kern w:val="2"/>
          <w:sz w:val="22"/>
          <w:szCs w:val="22"/>
          <w14:ligatures w14:val="standardContextual"/>
        </w:rPr>
        <w:t xml:space="preserve"> </w:t>
      </w:r>
      <w:r w:rsidR="00143644" w:rsidRPr="0046255C">
        <w:rPr>
          <w:rFonts w:eastAsia="Aptos" w:cstheme="minorHAnsi"/>
          <w:kern w:val="2"/>
          <w:sz w:val="22"/>
          <w:szCs w:val="22"/>
          <w14:ligatures w14:val="standardContextual"/>
        </w:rPr>
        <w:t>essa</w:t>
      </w:r>
      <w:r w:rsidRPr="0046255C">
        <w:rPr>
          <w:rFonts w:eastAsia="Aptos" w:cstheme="minorHAnsi"/>
          <w:kern w:val="2"/>
          <w:sz w:val="22"/>
          <w:szCs w:val="22"/>
          <w14:ligatures w14:val="standardContextual"/>
        </w:rPr>
        <w:t xml:space="preserve"> correlata, si stima che ogni anno si verifichino circa </w:t>
      </w:r>
      <w:r w:rsidRPr="0046255C">
        <w:rPr>
          <w:rFonts w:eastAsia="Aptos" w:cstheme="minorHAnsi"/>
          <w:b/>
          <w:bCs/>
          <w:kern w:val="2"/>
          <w:sz w:val="22"/>
          <w:szCs w:val="22"/>
          <w14:ligatures w14:val="standardContextual"/>
        </w:rPr>
        <w:t>5 milioni di casi di sepsi neonatale</w:t>
      </w:r>
      <w:r w:rsidR="00027E4E" w:rsidRPr="0046255C">
        <w:rPr>
          <w:rFonts w:eastAsia="Aptos" w:cstheme="minorHAnsi"/>
          <w:b/>
          <w:bCs/>
          <w:kern w:val="2"/>
          <w:sz w:val="22"/>
          <w:szCs w:val="22"/>
          <w14:ligatures w14:val="standardContextual"/>
        </w:rPr>
        <w:t>,</w:t>
      </w:r>
      <w:r w:rsidRPr="0046255C">
        <w:rPr>
          <w:rFonts w:eastAsia="Aptos" w:cstheme="minorHAnsi"/>
          <w:b/>
          <w:bCs/>
          <w:kern w:val="2"/>
          <w:sz w:val="22"/>
          <w:szCs w:val="22"/>
          <w14:ligatures w14:val="standardContextual"/>
        </w:rPr>
        <w:t xml:space="preserve"> che determinano circa 800.000 decessi.</w:t>
      </w:r>
    </w:p>
    <w:p w14:paraId="79176022" w14:textId="32100CF2" w:rsidR="002B3BBF" w:rsidRPr="0046255C" w:rsidRDefault="002B3BBF"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t>I microrganismi responsabili di sepsi possono essere trasmessi al neonato dalla madre nel periodo perinatale (sepsi ad esordio precoce nelle prime 72 ore di vita) o essere acquisiti successivamente durante la degenza in ospedale (sepsi ad esordio tardivo oltre le prime 72 ore di vita). Infatti, il ricovero in Terapia Intensiva Neonatale e le procedure invasive, pur rendendosi necessari per garantire l’assistenza e la sopravvivenza dei neonati più vulnerabili, incrementano ulteriormente il rischio di sviluppare una sepsi.</w:t>
      </w:r>
    </w:p>
    <w:p w14:paraId="10CFF76F" w14:textId="18E9594F" w:rsidR="002B3BBF" w:rsidRPr="0046255C" w:rsidRDefault="002B3BBF"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t xml:space="preserve">Nonostante i notevoli progressi delle cure perinatali e neonatali, la sepsi interessa globalmente oltre </w:t>
      </w:r>
      <w:r w:rsidRPr="0046255C">
        <w:rPr>
          <w:rFonts w:eastAsia="Aptos" w:cstheme="minorHAnsi"/>
          <w:b/>
          <w:bCs/>
          <w:kern w:val="2"/>
          <w:sz w:val="22"/>
          <w:szCs w:val="22"/>
          <w14:ligatures w14:val="standardContextual"/>
        </w:rPr>
        <w:t>il 2% dei nati, con una mortalità variabile tra il 10 e il 20%</w:t>
      </w:r>
      <w:r w:rsidRPr="0046255C">
        <w:rPr>
          <w:rFonts w:eastAsia="Aptos" w:cstheme="minorHAnsi"/>
          <w:kern w:val="2"/>
          <w:sz w:val="22"/>
          <w:szCs w:val="22"/>
          <w14:ligatures w14:val="standardContextual"/>
        </w:rPr>
        <w:t xml:space="preserve">, per cui rappresenta una delle principali cause di morte neonatale anche nei paesi con maggiori risorse. La prevalenza della sepsi aumenta notevolmente nei neonati prematuri e di </w:t>
      </w:r>
      <w:r w:rsidR="005B32D7" w:rsidRPr="0046255C">
        <w:rPr>
          <w:rFonts w:eastAsia="Aptos" w:cstheme="minorHAnsi"/>
          <w:i/>
          <w:iCs/>
          <w:kern w:val="2"/>
          <w:sz w:val="22"/>
          <w:szCs w:val="22"/>
          <w14:ligatures w14:val="standardContextual"/>
        </w:rPr>
        <w:t xml:space="preserve">peso molto basso </w:t>
      </w:r>
      <w:r w:rsidRPr="0046255C">
        <w:rPr>
          <w:rFonts w:eastAsia="Aptos" w:cstheme="minorHAnsi"/>
          <w:kern w:val="2"/>
          <w:sz w:val="22"/>
          <w:szCs w:val="22"/>
          <w14:ligatures w14:val="standardContextual"/>
        </w:rPr>
        <w:t>(fino al 20 % nei neonati VLBW con peso alla nascita inferiore a 1500 g), così come la mortalità e gli altri esiti determinati dalla sepsi (fino oltre il 35% nei neonati VLBW con peso alla nascita inferiore a 1500 g).</w:t>
      </w:r>
    </w:p>
    <w:p w14:paraId="4E843C8A" w14:textId="77777777" w:rsidR="00164428" w:rsidRPr="0046255C" w:rsidRDefault="00164428" w:rsidP="002B3BBF">
      <w:pPr>
        <w:jc w:val="both"/>
        <w:rPr>
          <w:rFonts w:eastAsia="Aptos" w:cstheme="minorHAnsi"/>
          <w:kern w:val="2"/>
          <w:sz w:val="22"/>
          <w:szCs w:val="22"/>
          <w14:ligatures w14:val="standardContextual"/>
        </w:rPr>
      </w:pPr>
    </w:p>
    <w:p w14:paraId="55715601" w14:textId="582322C0" w:rsidR="002B3BBF" w:rsidRPr="0046255C" w:rsidRDefault="00164428"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t>“</w:t>
      </w:r>
      <w:r w:rsidR="002B3BBF" w:rsidRPr="0046255C">
        <w:rPr>
          <w:rFonts w:eastAsia="Aptos" w:cstheme="minorHAnsi"/>
          <w:i/>
          <w:iCs/>
          <w:kern w:val="2"/>
          <w:sz w:val="22"/>
          <w:szCs w:val="22"/>
          <w14:ligatures w14:val="standardContextual"/>
        </w:rPr>
        <w:t>I segni clinici sono inizialmente aspecifici e non facili da identificare, per poi evolvere molto rapidamente e drammaticamente, spesso non consentendo l’avvio tempestivo di un trattamento efficace</w:t>
      </w:r>
      <w:r w:rsidRPr="0046255C">
        <w:rPr>
          <w:rFonts w:eastAsia="Aptos" w:cstheme="minorHAnsi"/>
          <w:i/>
          <w:iCs/>
          <w:kern w:val="2"/>
          <w:sz w:val="22"/>
          <w:szCs w:val="22"/>
          <w14:ligatures w14:val="standardContextual"/>
        </w:rPr>
        <w:t xml:space="preserve">”, </w:t>
      </w:r>
      <w:r w:rsidRPr="0046255C">
        <w:rPr>
          <w:rFonts w:eastAsia="Aptos" w:cstheme="minorHAnsi"/>
          <w:kern w:val="2"/>
          <w:sz w:val="22"/>
          <w:szCs w:val="22"/>
          <w14:ligatures w14:val="standardContextual"/>
        </w:rPr>
        <w:t>continua il Presidente Agosti</w:t>
      </w:r>
      <w:r w:rsidR="002B3BBF" w:rsidRPr="0046255C">
        <w:rPr>
          <w:rFonts w:eastAsia="Aptos" w:cstheme="minorHAnsi"/>
          <w:kern w:val="2"/>
          <w:sz w:val="22"/>
          <w:szCs w:val="22"/>
          <w14:ligatures w14:val="standardContextual"/>
        </w:rPr>
        <w:t>.</w:t>
      </w:r>
      <w:r w:rsidRPr="0046255C">
        <w:rPr>
          <w:rFonts w:eastAsia="Aptos" w:cstheme="minorHAnsi"/>
          <w:i/>
          <w:iCs/>
          <w:kern w:val="2"/>
          <w:sz w:val="22"/>
          <w:szCs w:val="22"/>
          <w14:ligatures w14:val="standardContextual"/>
        </w:rPr>
        <w:t xml:space="preserve"> “</w:t>
      </w:r>
      <w:r w:rsidR="002B3BBF" w:rsidRPr="0046255C">
        <w:rPr>
          <w:rFonts w:eastAsia="Aptos" w:cstheme="minorHAnsi"/>
          <w:i/>
          <w:iCs/>
          <w:kern w:val="2"/>
          <w:sz w:val="22"/>
          <w:szCs w:val="22"/>
          <w14:ligatures w14:val="standardContextual"/>
        </w:rPr>
        <w:t xml:space="preserve">Un’ulteriore minaccia è rappresentata dalla crescente </w:t>
      </w:r>
      <w:r w:rsidR="002B3BBF" w:rsidRPr="0046255C">
        <w:rPr>
          <w:rFonts w:eastAsia="Aptos" w:cstheme="minorHAnsi"/>
          <w:b/>
          <w:bCs/>
          <w:i/>
          <w:iCs/>
          <w:kern w:val="2"/>
          <w:sz w:val="22"/>
          <w:szCs w:val="22"/>
          <w14:ligatures w14:val="standardContextual"/>
        </w:rPr>
        <w:t>emergenza di microrganismi resistenti alle principali classi di antimicrobici disponibili,</w:t>
      </w:r>
      <w:r w:rsidR="002B3BBF" w:rsidRPr="0046255C">
        <w:rPr>
          <w:rFonts w:eastAsia="Aptos" w:cstheme="minorHAnsi"/>
          <w:i/>
          <w:iCs/>
          <w:kern w:val="2"/>
          <w:sz w:val="22"/>
          <w:szCs w:val="22"/>
          <w14:ligatures w14:val="standardContextual"/>
        </w:rPr>
        <w:t xml:space="preserve"> contro i quali talvolta non abbiamo strumenti terapeutici efficaci. La sperimentazione di nuove molecole antimicrobiche è lunga e costosa, e ancor di più la loro validazione per l’uso in epoca neonatale</w:t>
      </w:r>
      <w:r w:rsidRPr="0046255C">
        <w:rPr>
          <w:rFonts w:eastAsia="Aptos" w:cstheme="minorHAnsi"/>
          <w:i/>
          <w:iCs/>
          <w:kern w:val="2"/>
          <w:sz w:val="22"/>
          <w:szCs w:val="22"/>
          <w14:ligatures w14:val="standardContextual"/>
        </w:rPr>
        <w:t>”</w:t>
      </w:r>
      <w:r w:rsidR="00304490" w:rsidRPr="0046255C">
        <w:rPr>
          <w:rFonts w:eastAsia="Aptos" w:cstheme="minorHAnsi"/>
          <w:i/>
          <w:iCs/>
          <w:kern w:val="2"/>
          <w:sz w:val="22"/>
          <w:szCs w:val="22"/>
          <w14:ligatures w14:val="standardContextual"/>
        </w:rPr>
        <w:t>.</w:t>
      </w:r>
    </w:p>
    <w:p w14:paraId="626E3216" w14:textId="039BE48E" w:rsidR="002B3BBF" w:rsidRPr="0046255C" w:rsidRDefault="002B3BBF" w:rsidP="002B3BBF">
      <w:pPr>
        <w:jc w:val="both"/>
        <w:rPr>
          <w:rFonts w:eastAsia="Aptos" w:cstheme="minorHAnsi"/>
          <w:kern w:val="2"/>
          <w:sz w:val="22"/>
          <w:szCs w:val="22"/>
          <w14:ligatures w14:val="standardContextual"/>
        </w:rPr>
      </w:pPr>
      <w:r w:rsidRPr="0046255C">
        <w:rPr>
          <w:rFonts w:eastAsia="Aptos" w:cstheme="minorHAnsi"/>
          <w:kern w:val="2"/>
          <w:sz w:val="22"/>
          <w:szCs w:val="22"/>
          <w14:ligatures w14:val="standardContextual"/>
        </w:rPr>
        <w:lastRenderedPageBreak/>
        <w:t xml:space="preserve">Lo strumento più efficace è, quindi, la </w:t>
      </w:r>
      <w:r w:rsidRPr="0046255C">
        <w:rPr>
          <w:rFonts w:eastAsia="Aptos" w:cstheme="minorHAnsi"/>
          <w:b/>
          <w:bCs/>
          <w:kern w:val="2"/>
          <w:sz w:val="22"/>
          <w:szCs w:val="22"/>
          <w14:ligatures w14:val="standardContextual"/>
        </w:rPr>
        <w:t>rigorosa applicazione di misure di prevenzione e controllo delle infezioni</w:t>
      </w:r>
      <w:r w:rsidRPr="0046255C">
        <w:rPr>
          <w:rFonts w:eastAsia="Aptos" w:cstheme="minorHAnsi"/>
          <w:kern w:val="2"/>
          <w:sz w:val="22"/>
          <w:szCs w:val="22"/>
          <w14:ligatures w14:val="standardContextual"/>
        </w:rPr>
        <w:t xml:space="preserve">, attraverso una molteplicità di interventi coordinati, dal lavaggio delle mani alle altre misure igieniche, specie in corso di procedure invasive, dall’accurato monitoraggio clinico dei neonati alle moderne metodiche molecolari di diagnosi rapida, dalla sorveglianza microbiologica dei reparti di neonatologia </w:t>
      </w:r>
      <w:r w:rsidR="004B1B86" w:rsidRPr="0046255C">
        <w:rPr>
          <w:rFonts w:eastAsia="Aptos" w:cstheme="minorHAnsi"/>
          <w:kern w:val="2"/>
          <w:sz w:val="22"/>
          <w:szCs w:val="22"/>
          <w14:ligatures w14:val="standardContextual"/>
        </w:rPr>
        <w:t>al corretto utilizzo degli antibiotici (</w:t>
      </w:r>
      <w:proofErr w:type="spellStart"/>
      <w:r w:rsidR="004B1B86" w:rsidRPr="0046255C">
        <w:rPr>
          <w:rFonts w:eastAsia="Aptos" w:cstheme="minorHAnsi"/>
          <w:i/>
          <w:iCs/>
          <w:kern w:val="2"/>
          <w:sz w:val="22"/>
          <w:szCs w:val="22"/>
          <w14:ligatures w14:val="standardContextual"/>
        </w:rPr>
        <w:t>stewardship</w:t>
      </w:r>
      <w:proofErr w:type="spellEnd"/>
      <w:r w:rsidR="004B1B86" w:rsidRPr="0046255C">
        <w:rPr>
          <w:rFonts w:eastAsia="Aptos" w:cstheme="minorHAnsi"/>
          <w:i/>
          <w:iCs/>
          <w:kern w:val="2"/>
          <w:sz w:val="22"/>
          <w:szCs w:val="22"/>
          <w14:ligatures w14:val="standardContextual"/>
        </w:rPr>
        <w:t xml:space="preserve"> antimicrobica</w:t>
      </w:r>
      <w:r w:rsidR="004B1B86" w:rsidRPr="0046255C">
        <w:rPr>
          <w:rFonts w:eastAsia="Aptos" w:cstheme="minorHAnsi"/>
          <w:kern w:val="2"/>
          <w:sz w:val="22"/>
          <w:szCs w:val="22"/>
          <w14:ligatures w14:val="standardContextual"/>
        </w:rPr>
        <w:t xml:space="preserve">), </w:t>
      </w:r>
      <w:r w:rsidRPr="0046255C">
        <w:rPr>
          <w:rFonts w:eastAsia="Aptos" w:cstheme="minorHAnsi"/>
          <w:kern w:val="2"/>
          <w:sz w:val="22"/>
          <w:szCs w:val="22"/>
          <w14:ligatures w14:val="standardContextual"/>
        </w:rPr>
        <w:t xml:space="preserve">alla gestione dei posti letto e del personale sanitario, mantenendo sempre un corretto rapporto infermieri/pazienti, garanzia di qualità e sicurezza delle cure erogate. </w:t>
      </w:r>
    </w:p>
    <w:p w14:paraId="49D46F13" w14:textId="77777777" w:rsidR="002B3BBF" w:rsidRPr="0046255C" w:rsidRDefault="002B3BBF" w:rsidP="002B3BBF">
      <w:pPr>
        <w:jc w:val="both"/>
        <w:rPr>
          <w:rFonts w:eastAsia="Aptos" w:cstheme="minorHAnsi"/>
          <w:kern w:val="2"/>
          <w:sz w:val="22"/>
          <w:szCs w:val="22"/>
          <w14:ligatures w14:val="standardContextual"/>
        </w:rPr>
      </w:pPr>
    </w:p>
    <w:p w14:paraId="77FD5354" w14:textId="3243AA1C" w:rsidR="002B3BBF" w:rsidRPr="0046255C" w:rsidRDefault="00027E4E" w:rsidP="002B3BBF">
      <w:pPr>
        <w:jc w:val="both"/>
        <w:rPr>
          <w:rFonts w:eastAsia="Aptos" w:cstheme="minorHAnsi"/>
          <w:i/>
          <w:iCs/>
          <w:kern w:val="2"/>
          <w:sz w:val="22"/>
          <w:szCs w:val="22"/>
          <w14:ligatures w14:val="standardContextual"/>
        </w:rPr>
      </w:pPr>
      <w:r w:rsidRPr="0046255C">
        <w:rPr>
          <w:rFonts w:eastAsia="Aptos" w:cstheme="minorHAnsi"/>
          <w:i/>
          <w:iCs/>
          <w:kern w:val="2"/>
          <w:sz w:val="22"/>
          <w:szCs w:val="22"/>
          <w14:ligatures w14:val="standardContextual"/>
        </w:rPr>
        <w:t>“</w:t>
      </w:r>
      <w:r w:rsidR="002B3BBF" w:rsidRPr="0046255C">
        <w:rPr>
          <w:rFonts w:eastAsia="Aptos" w:cstheme="minorHAnsi"/>
          <w:i/>
          <w:iCs/>
          <w:kern w:val="2"/>
          <w:sz w:val="22"/>
          <w:szCs w:val="22"/>
          <w14:ligatures w14:val="standardContextual"/>
        </w:rPr>
        <w:t>La formazione di tutti gli operatori sanitari che partecipano nell’assistenza ai neonati critici e il loro coinvolgimento attivo nei programmi di prevenzione e controllo delle infezioni è un presupposto essenziale per garantirne l’efficacia e ridurre la prevalenza della sepsi e della mortalità neonatale ad essa correlata</w:t>
      </w:r>
      <w:r w:rsidRPr="0046255C">
        <w:rPr>
          <w:rFonts w:eastAsia="Aptos" w:cstheme="minorHAnsi"/>
          <w:i/>
          <w:iCs/>
          <w:kern w:val="2"/>
          <w:sz w:val="22"/>
          <w:szCs w:val="22"/>
          <w14:ligatures w14:val="standardContextual"/>
        </w:rPr>
        <w:t xml:space="preserve">”, </w:t>
      </w:r>
      <w:r w:rsidRPr="0046255C">
        <w:rPr>
          <w:rFonts w:eastAsia="Aptos" w:cstheme="minorHAnsi"/>
          <w:kern w:val="2"/>
          <w:sz w:val="22"/>
          <w:szCs w:val="22"/>
          <w14:ligatures w14:val="standardContextual"/>
        </w:rPr>
        <w:t>conclude il Prof. Mario Giuffrè, Segretario del Gruppo di Studio di Infettivologia neonatale della SIN</w:t>
      </w:r>
      <w:r w:rsidR="002B3BBF" w:rsidRPr="0046255C">
        <w:rPr>
          <w:rFonts w:eastAsia="Aptos" w:cstheme="minorHAnsi"/>
          <w:i/>
          <w:iCs/>
          <w:kern w:val="2"/>
          <w:sz w:val="22"/>
          <w:szCs w:val="22"/>
          <w14:ligatures w14:val="standardContextual"/>
        </w:rPr>
        <w:t xml:space="preserve">. </w:t>
      </w:r>
      <w:r w:rsidRPr="0046255C">
        <w:rPr>
          <w:rFonts w:eastAsia="Aptos" w:cstheme="minorHAnsi"/>
          <w:i/>
          <w:iCs/>
          <w:kern w:val="2"/>
          <w:sz w:val="22"/>
          <w:szCs w:val="22"/>
          <w14:ligatures w14:val="standardContextual"/>
        </w:rPr>
        <w:t>“Anche i</w:t>
      </w:r>
      <w:r w:rsidR="002B3BBF" w:rsidRPr="0046255C">
        <w:rPr>
          <w:rFonts w:eastAsia="Aptos" w:cstheme="minorHAnsi"/>
          <w:i/>
          <w:iCs/>
          <w:kern w:val="2"/>
          <w:sz w:val="22"/>
          <w:szCs w:val="22"/>
          <w14:ligatures w14:val="standardContextual"/>
        </w:rPr>
        <w:t>l coinvolgimento dei genitori è essenziale nel ridurre il rischio di sepsi: l’adesione allo screening materno durante la gravidanza è molto efficace nel ridurre il rischio di sepsi ad esordio precoce</w:t>
      </w:r>
      <w:r w:rsidRPr="0046255C">
        <w:rPr>
          <w:rFonts w:eastAsia="Aptos" w:cstheme="minorHAnsi"/>
          <w:i/>
          <w:iCs/>
          <w:kern w:val="2"/>
          <w:sz w:val="22"/>
          <w:szCs w:val="22"/>
          <w14:ligatures w14:val="standardContextual"/>
        </w:rPr>
        <w:t xml:space="preserve"> e</w:t>
      </w:r>
      <w:r w:rsidR="002B3BBF" w:rsidRPr="0046255C">
        <w:rPr>
          <w:rFonts w:eastAsia="Aptos" w:cstheme="minorHAnsi"/>
          <w:i/>
          <w:iCs/>
          <w:kern w:val="2"/>
          <w:sz w:val="22"/>
          <w:szCs w:val="22"/>
          <w14:ligatures w14:val="standardContextual"/>
        </w:rPr>
        <w:t xml:space="preserve"> l’allattamento al seno materno fornisce immunità passiva contro molti patogeni e potenzia le difese del </w:t>
      </w:r>
      <w:r w:rsidRPr="0046255C">
        <w:rPr>
          <w:rFonts w:eastAsia="Aptos" w:cstheme="minorHAnsi"/>
          <w:i/>
          <w:iCs/>
          <w:kern w:val="2"/>
          <w:sz w:val="22"/>
          <w:szCs w:val="22"/>
          <w14:ligatures w14:val="standardContextual"/>
        </w:rPr>
        <w:t>neonato</w:t>
      </w:r>
      <w:r w:rsidR="002B3BBF" w:rsidRPr="0046255C">
        <w:rPr>
          <w:rFonts w:eastAsia="Aptos" w:cstheme="minorHAnsi"/>
          <w:i/>
          <w:iCs/>
          <w:kern w:val="2"/>
          <w:sz w:val="22"/>
          <w:szCs w:val="22"/>
          <w14:ligatures w14:val="standardContextual"/>
        </w:rPr>
        <w:t>, riducendo il rischio di sepsi ad esordio tardivo</w:t>
      </w:r>
      <w:r w:rsidRPr="0046255C">
        <w:rPr>
          <w:rFonts w:eastAsia="Aptos" w:cstheme="minorHAnsi"/>
          <w:i/>
          <w:iCs/>
          <w:kern w:val="2"/>
          <w:sz w:val="22"/>
          <w:szCs w:val="22"/>
          <w14:ligatures w14:val="standardContextual"/>
        </w:rPr>
        <w:t>,</w:t>
      </w:r>
      <w:r w:rsidR="002B3BBF" w:rsidRPr="0046255C">
        <w:rPr>
          <w:rFonts w:eastAsia="Aptos" w:cstheme="minorHAnsi"/>
          <w:i/>
          <w:iCs/>
          <w:kern w:val="2"/>
          <w:sz w:val="22"/>
          <w:szCs w:val="22"/>
          <w14:ligatures w14:val="standardContextual"/>
        </w:rPr>
        <w:t xml:space="preserve"> anche nel neonato pretermine</w:t>
      </w:r>
      <w:r w:rsidRPr="0046255C">
        <w:rPr>
          <w:rFonts w:eastAsia="Aptos" w:cstheme="minorHAnsi"/>
          <w:i/>
          <w:iCs/>
          <w:kern w:val="2"/>
          <w:sz w:val="22"/>
          <w:szCs w:val="22"/>
          <w14:ligatures w14:val="standardContextual"/>
        </w:rPr>
        <w:t>”</w:t>
      </w:r>
      <w:r w:rsidR="002B3BBF" w:rsidRPr="0046255C">
        <w:rPr>
          <w:rFonts w:eastAsia="Aptos" w:cstheme="minorHAnsi"/>
          <w:i/>
          <w:iCs/>
          <w:kern w:val="2"/>
          <w:sz w:val="22"/>
          <w:szCs w:val="22"/>
          <w14:ligatures w14:val="standardContextual"/>
        </w:rPr>
        <w:t>.</w:t>
      </w:r>
    </w:p>
    <w:p w14:paraId="4C72BE18" w14:textId="77777777" w:rsidR="002B3BBF" w:rsidRPr="0046255C" w:rsidRDefault="002B3BBF" w:rsidP="002B3BBF">
      <w:pPr>
        <w:jc w:val="both"/>
        <w:rPr>
          <w:rFonts w:eastAsia="Aptos" w:cstheme="minorHAnsi"/>
          <w:kern w:val="2"/>
          <w:sz w:val="22"/>
          <w:szCs w:val="22"/>
          <w14:ligatures w14:val="standardContextual"/>
        </w:rPr>
      </w:pPr>
    </w:p>
    <w:p w14:paraId="01A05267" w14:textId="77777777" w:rsidR="002B3BBF" w:rsidRPr="0046255C" w:rsidRDefault="002B3BBF" w:rsidP="002B3BBF">
      <w:pPr>
        <w:jc w:val="both"/>
        <w:rPr>
          <w:rFonts w:eastAsia="Aptos" w:cstheme="minorHAnsi"/>
          <w:kern w:val="2"/>
          <w:sz w:val="22"/>
          <w:szCs w:val="22"/>
          <w14:ligatures w14:val="standardContextual"/>
        </w:rPr>
      </w:pPr>
    </w:p>
    <w:p w14:paraId="5B25874B" w14:textId="34AA01DA" w:rsidR="00CA4F61" w:rsidRPr="0046255C" w:rsidRDefault="00CA4F61" w:rsidP="002B3BBF">
      <w:pPr>
        <w:jc w:val="both"/>
        <w:rPr>
          <w:rFonts w:cstheme="minorHAnsi"/>
          <w:sz w:val="20"/>
          <w:szCs w:val="20"/>
        </w:rPr>
      </w:pPr>
      <w:r w:rsidRPr="0046255C">
        <w:rPr>
          <w:rFonts w:cstheme="minorHAnsi"/>
          <w:sz w:val="20"/>
          <w:szCs w:val="20"/>
        </w:rPr>
        <w:t>_________________________________________________________________________________________</w:t>
      </w:r>
      <w:r w:rsidR="00976818" w:rsidRPr="0046255C">
        <w:rPr>
          <w:rFonts w:cstheme="minorHAnsi"/>
          <w:sz w:val="20"/>
          <w:szCs w:val="20"/>
        </w:rPr>
        <w:t>_______</w:t>
      </w:r>
    </w:p>
    <w:p w14:paraId="49C41D97" w14:textId="77777777" w:rsidR="00CA4F61" w:rsidRPr="0046255C" w:rsidRDefault="00CA4F61" w:rsidP="00390A30">
      <w:pPr>
        <w:widowControl w:val="0"/>
        <w:jc w:val="both"/>
        <w:rPr>
          <w:rFonts w:cstheme="minorHAnsi"/>
          <w:sz w:val="20"/>
          <w:szCs w:val="20"/>
        </w:rPr>
      </w:pPr>
      <w:r w:rsidRPr="0046255C">
        <w:rPr>
          <w:rFonts w:cstheme="minorHAnsi"/>
          <w:sz w:val="20"/>
          <w:szCs w:val="20"/>
        </w:rPr>
        <w:t>UFFICIO STAMPA</w:t>
      </w:r>
      <w:r w:rsidRPr="0046255C">
        <w:rPr>
          <w:rFonts w:cstheme="minorHAnsi"/>
          <w:b/>
          <w:bCs/>
          <w:sz w:val="20"/>
          <w:szCs w:val="20"/>
        </w:rPr>
        <w:t xml:space="preserve"> SIN Società Italiana di Neonatologia</w:t>
      </w:r>
      <w:r w:rsidRPr="0046255C">
        <w:rPr>
          <w:rFonts w:cstheme="minorHAnsi"/>
          <w:b/>
          <w:bCs/>
          <w:i/>
          <w:iCs/>
          <w:sz w:val="20"/>
          <w:szCs w:val="20"/>
        </w:rPr>
        <w:t xml:space="preserve"> </w:t>
      </w:r>
    </w:p>
    <w:p w14:paraId="03AFFF6D" w14:textId="6ED7E24F" w:rsidR="00CA4F61" w:rsidRPr="0046255C" w:rsidRDefault="00CA4F61" w:rsidP="00390A30">
      <w:pPr>
        <w:jc w:val="both"/>
        <w:rPr>
          <w:rFonts w:cstheme="minorHAnsi"/>
          <w:sz w:val="20"/>
          <w:szCs w:val="20"/>
        </w:rPr>
      </w:pPr>
      <w:r w:rsidRPr="0046255C">
        <w:rPr>
          <w:rFonts w:cstheme="minorHAnsi"/>
          <w:sz w:val="20"/>
          <w:szCs w:val="20"/>
        </w:rPr>
        <w:t xml:space="preserve">BRANDMAKER </w:t>
      </w:r>
      <w:r w:rsidRPr="0046255C">
        <w:rPr>
          <w:rFonts w:cstheme="minorHAnsi"/>
          <w:sz w:val="20"/>
          <w:szCs w:val="20"/>
        </w:rPr>
        <w:br/>
        <w:t xml:space="preserve">Marinella Proto Pisani cell.3397566685 - Valentina Casertano cell.3391534498 </w:t>
      </w:r>
    </w:p>
    <w:p w14:paraId="680A06B5" w14:textId="5DD61C73" w:rsidR="005A2879" w:rsidRPr="0046255C" w:rsidRDefault="00CA4F61" w:rsidP="00390A30">
      <w:pPr>
        <w:jc w:val="both"/>
        <w:rPr>
          <w:rFonts w:cstheme="minorHAnsi"/>
          <w:sz w:val="20"/>
          <w:szCs w:val="20"/>
          <w:lang w:val="en-GB"/>
        </w:rPr>
      </w:pPr>
      <w:r w:rsidRPr="0046255C">
        <w:rPr>
          <w:rFonts w:cstheme="minorHAnsi"/>
          <w:sz w:val="20"/>
          <w:szCs w:val="20"/>
          <w:lang w:val="en-GB"/>
        </w:rPr>
        <w:t>tel. 0815515442 - sin</w:t>
      </w:r>
      <w:bookmarkStart w:id="0" w:name="_Hlk83020507"/>
      <w:r w:rsidRPr="0046255C">
        <w:rPr>
          <w:rFonts w:cstheme="minorHAnsi"/>
          <w:sz w:val="20"/>
          <w:szCs w:val="20"/>
          <w:lang w:val="en-GB"/>
        </w:rPr>
        <w:t>@</w:t>
      </w:r>
      <w:bookmarkEnd w:id="0"/>
      <w:r w:rsidRPr="0046255C">
        <w:rPr>
          <w:rFonts w:cstheme="minorHAnsi"/>
          <w:sz w:val="20"/>
          <w:szCs w:val="20"/>
          <w:lang w:val="en-GB"/>
        </w:rPr>
        <w:t>brandmaker.it - www.sin-neonatologia.it</w:t>
      </w:r>
    </w:p>
    <w:sectPr w:rsidR="005A2879" w:rsidRPr="0046255C" w:rsidSect="00B2312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60594"/>
    <w:multiLevelType w:val="hybridMultilevel"/>
    <w:tmpl w:val="AC7C934A"/>
    <w:lvl w:ilvl="0" w:tplc="7A16020A">
      <w:start w:val="1"/>
      <w:numFmt w:val="bullet"/>
      <w:lvlText w:val=""/>
      <w:lvlJc w:val="left"/>
      <w:pPr>
        <w:ind w:left="720" w:hanging="360"/>
      </w:pPr>
      <w:rPr>
        <w:rFonts w:ascii="Wingdings" w:hAnsi="Wingdings" w:hint="default"/>
        <w:color w:val="00206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A51117"/>
    <w:multiLevelType w:val="multilevel"/>
    <w:tmpl w:val="860A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727BB"/>
    <w:multiLevelType w:val="hybridMultilevel"/>
    <w:tmpl w:val="6AB404B0"/>
    <w:lvl w:ilvl="0" w:tplc="A558CD7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8845982">
    <w:abstractNumId w:val="1"/>
  </w:num>
  <w:num w:numId="2" w16cid:durableId="1474759572">
    <w:abstractNumId w:val="2"/>
  </w:num>
  <w:num w:numId="3" w16cid:durableId="56592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79"/>
    <w:rsid w:val="00002034"/>
    <w:rsid w:val="00017333"/>
    <w:rsid w:val="00020848"/>
    <w:rsid w:val="000233DA"/>
    <w:rsid w:val="00027E4E"/>
    <w:rsid w:val="000310AC"/>
    <w:rsid w:val="00034A56"/>
    <w:rsid w:val="000504DF"/>
    <w:rsid w:val="00052F83"/>
    <w:rsid w:val="00057B88"/>
    <w:rsid w:val="00066EC9"/>
    <w:rsid w:val="00086BFE"/>
    <w:rsid w:val="000A2DA5"/>
    <w:rsid w:val="000D5F53"/>
    <w:rsid w:val="000E4AAC"/>
    <w:rsid w:val="000F4376"/>
    <w:rsid w:val="0010568A"/>
    <w:rsid w:val="0011055E"/>
    <w:rsid w:val="00123E79"/>
    <w:rsid w:val="00132D65"/>
    <w:rsid w:val="00143644"/>
    <w:rsid w:val="00164428"/>
    <w:rsid w:val="001B672C"/>
    <w:rsid w:val="001F5A2C"/>
    <w:rsid w:val="001F71AE"/>
    <w:rsid w:val="00210D3A"/>
    <w:rsid w:val="0021742F"/>
    <w:rsid w:val="002243AE"/>
    <w:rsid w:val="00241A79"/>
    <w:rsid w:val="002509AE"/>
    <w:rsid w:val="00253E02"/>
    <w:rsid w:val="002623EE"/>
    <w:rsid w:val="00264840"/>
    <w:rsid w:val="00292795"/>
    <w:rsid w:val="002A2F70"/>
    <w:rsid w:val="002B0D55"/>
    <w:rsid w:val="002B3BBF"/>
    <w:rsid w:val="002B7CBD"/>
    <w:rsid w:val="002D2FFE"/>
    <w:rsid w:val="002D7ADE"/>
    <w:rsid w:val="002F19DF"/>
    <w:rsid w:val="002F5372"/>
    <w:rsid w:val="00300124"/>
    <w:rsid w:val="00304490"/>
    <w:rsid w:val="00315677"/>
    <w:rsid w:val="00315B44"/>
    <w:rsid w:val="00317B47"/>
    <w:rsid w:val="003220D4"/>
    <w:rsid w:val="00330CDC"/>
    <w:rsid w:val="0033107A"/>
    <w:rsid w:val="00333CF5"/>
    <w:rsid w:val="0034734E"/>
    <w:rsid w:val="00350C9A"/>
    <w:rsid w:val="00353C28"/>
    <w:rsid w:val="00363495"/>
    <w:rsid w:val="00366400"/>
    <w:rsid w:val="00380E27"/>
    <w:rsid w:val="00385769"/>
    <w:rsid w:val="00390A30"/>
    <w:rsid w:val="003A5855"/>
    <w:rsid w:val="003B030A"/>
    <w:rsid w:val="003B13B9"/>
    <w:rsid w:val="003B62AF"/>
    <w:rsid w:val="003B6DE0"/>
    <w:rsid w:val="003C04EB"/>
    <w:rsid w:val="003D1DA8"/>
    <w:rsid w:val="003E646B"/>
    <w:rsid w:val="003E646D"/>
    <w:rsid w:val="003F0FD7"/>
    <w:rsid w:val="003F756F"/>
    <w:rsid w:val="004049C7"/>
    <w:rsid w:val="004112DC"/>
    <w:rsid w:val="0041171C"/>
    <w:rsid w:val="00411C86"/>
    <w:rsid w:val="00426EFF"/>
    <w:rsid w:val="004336C9"/>
    <w:rsid w:val="00435D38"/>
    <w:rsid w:val="004446B5"/>
    <w:rsid w:val="00447A34"/>
    <w:rsid w:val="00462238"/>
    <w:rsid w:val="0046255C"/>
    <w:rsid w:val="00463FAD"/>
    <w:rsid w:val="00465AC5"/>
    <w:rsid w:val="0046788A"/>
    <w:rsid w:val="00487C3E"/>
    <w:rsid w:val="004A5BAB"/>
    <w:rsid w:val="004B1B86"/>
    <w:rsid w:val="004C0988"/>
    <w:rsid w:val="004C28F6"/>
    <w:rsid w:val="004C7049"/>
    <w:rsid w:val="004D1D48"/>
    <w:rsid w:val="004D2FFD"/>
    <w:rsid w:val="004D593B"/>
    <w:rsid w:val="004E7265"/>
    <w:rsid w:val="005104F3"/>
    <w:rsid w:val="0051416A"/>
    <w:rsid w:val="00521B9D"/>
    <w:rsid w:val="0053409C"/>
    <w:rsid w:val="005378CA"/>
    <w:rsid w:val="0056459A"/>
    <w:rsid w:val="00566B76"/>
    <w:rsid w:val="005707D2"/>
    <w:rsid w:val="005724EA"/>
    <w:rsid w:val="00573D09"/>
    <w:rsid w:val="0057416B"/>
    <w:rsid w:val="005814E8"/>
    <w:rsid w:val="00582753"/>
    <w:rsid w:val="0058689A"/>
    <w:rsid w:val="00592B96"/>
    <w:rsid w:val="005A2879"/>
    <w:rsid w:val="005B32D7"/>
    <w:rsid w:val="005B37CE"/>
    <w:rsid w:val="005D3D2A"/>
    <w:rsid w:val="005E4125"/>
    <w:rsid w:val="005F1B3C"/>
    <w:rsid w:val="005F50D0"/>
    <w:rsid w:val="0064472E"/>
    <w:rsid w:val="006913C2"/>
    <w:rsid w:val="006918F8"/>
    <w:rsid w:val="006938A1"/>
    <w:rsid w:val="006D5DAA"/>
    <w:rsid w:val="00724A0C"/>
    <w:rsid w:val="007500ED"/>
    <w:rsid w:val="00750CAB"/>
    <w:rsid w:val="0076192E"/>
    <w:rsid w:val="00763FC7"/>
    <w:rsid w:val="0078361B"/>
    <w:rsid w:val="00783EF6"/>
    <w:rsid w:val="00784893"/>
    <w:rsid w:val="0079216A"/>
    <w:rsid w:val="00792E87"/>
    <w:rsid w:val="007A7FF8"/>
    <w:rsid w:val="007B01C2"/>
    <w:rsid w:val="007C1909"/>
    <w:rsid w:val="007D2970"/>
    <w:rsid w:val="008135A0"/>
    <w:rsid w:val="00835515"/>
    <w:rsid w:val="00836F18"/>
    <w:rsid w:val="008534EC"/>
    <w:rsid w:val="00854031"/>
    <w:rsid w:val="00860189"/>
    <w:rsid w:val="008642C7"/>
    <w:rsid w:val="008656CC"/>
    <w:rsid w:val="0087275D"/>
    <w:rsid w:val="00872C7B"/>
    <w:rsid w:val="0087539D"/>
    <w:rsid w:val="008768E8"/>
    <w:rsid w:val="00890EAA"/>
    <w:rsid w:val="008A42B0"/>
    <w:rsid w:val="008B099B"/>
    <w:rsid w:val="008B3DD8"/>
    <w:rsid w:val="008C2D94"/>
    <w:rsid w:val="008C46E1"/>
    <w:rsid w:val="008E35BF"/>
    <w:rsid w:val="008F2EE7"/>
    <w:rsid w:val="00907376"/>
    <w:rsid w:val="0090772E"/>
    <w:rsid w:val="00907BCB"/>
    <w:rsid w:val="00916BA1"/>
    <w:rsid w:val="0091796A"/>
    <w:rsid w:val="00944903"/>
    <w:rsid w:val="00966F5D"/>
    <w:rsid w:val="009733A5"/>
    <w:rsid w:val="00976818"/>
    <w:rsid w:val="009776BD"/>
    <w:rsid w:val="009913B6"/>
    <w:rsid w:val="009B3962"/>
    <w:rsid w:val="009B73D1"/>
    <w:rsid w:val="009D003E"/>
    <w:rsid w:val="009D7D19"/>
    <w:rsid w:val="009E1538"/>
    <w:rsid w:val="009E4903"/>
    <w:rsid w:val="009E7C16"/>
    <w:rsid w:val="00A018BD"/>
    <w:rsid w:val="00A3459C"/>
    <w:rsid w:val="00A60DBF"/>
    <w:rsid w:val="00A65CAA"/>
    <w:rsid w:val="00A75404"/>
    <w:rsid w:val="00A77E8B"/>
    <w:rsid w:val="00A84119"/>
    <w:rsid w:val="00A84124"/>
    <w:rsid w:val="00A87486"/>
    <w:rsid w:val="00A93FBA"/>
    <w:rsid w:val="00A97768"/>
    <w:rsid w:val="00AA1122"/>
    <w:rsid w:val="00AB0DF2"/>
    <w:rsid w:val="00AB3E88"/>
    <w:rsid w:val="00AC75BA"/>
    <w:rsid w:val="00AC7D3D"/>
    <w:rsid w:val="00AD613B"/>
    <w:rsid w:val="00AE0C98"/>
    <w:rsid w:val="00AE52C7"/>
    <w:rsid w:val="00B01207"/>
    <w:rsid w:val="00B102D3"/>
    <w:rsid w:val="00B23120"/>
    <w:rsid w:val="00B25A43"/>
    <w:rsid w:val="00B42D37"/>
    <w:rsid w:val="00B43898"/>
    <w:rsid w:val="00B47C17"/>
    <w:rsid w:val="00B54DCE"/>
    <w:rsid w:val="00B647B2"/>
    <w:rsid w:val="00B83DF2"/>
    <w:rsid w:val="00BA6842"/>
    <w:rsid w:val="00BB4C53"/>
    <w:rsid w:val="00BC084E"/>
    <w:rsid w:val="00BD5A34"/>
    <w:rsid w:val="00BD5F63"/>
    <w:rsid w:val="00BE22F4"/>
    <w:rsid w:val="00C007DD"/>
    <w:rsid w:val="00C26C8C"/>
    <w:rsid w:val="00C32737"/>
    <w:rsid w:val="00C3653C"/>
    <w:rsid w:val="00C443E2"/>
    <w:rsid w:val="00C535F0"/>
    <w:rsid w:val="00C5687A"/>
    <w:rsid w:val="00C60B09"/>
    <w:rsid w:val="00C65260"/>
    <w:rsid w:val="00C71939"/>
    <w:rsid w:val="00C72BF3"/>
    <w:rsid w:val="00CA1512"/>
    <w:rsid w:val="00CA16FC"/>
    <w:rsid w:val="00CA4F61"/>
    <w:rsid w:val="00CB1428"/>
    <w:rsid w:val="00CB3C97"/>
    <w:rsid w:val="00CE0B0D"/>
    <w:rsid w:val="00CE3469"/>
    <w:rsid w:val="00CE49B7"/>
    <w:rsid w:val="00D14A36"/>
    <w:rsid w:val="00D22E51"/>
    <w:rsid w:val="00D31989"/>
    <w:rsid w:val="00D7176B"/>
    <w:rsid w:val="00D8450B"/>
    <w:rsid w:val="00D91937"/>
    <w:rsid w:val="00D92C28"/>
    <w:rsid w:val="00D95A68"/>
    <w:rsid w:val="00D967D1"/>
    <w:rsid w:val="00D97F1C"/>
    <w:rsid w:val="00DA4C6B"/>
    <w:rsid w:val="00DA6CE0"/>
    <w:rsid w:val="00DB7934"/>
    <w:rsid w:val="00DC0E8B"/>
    <w:rsid w:val="00DC12E7"/>
    <w:rsid w:val="00DC5A61"/>
    <w:rsid w:val="00DC7855"/>
    <w:rsid w:val="00DD0CE3"/>
    <w:rsid w:val="00DD290F"/>
    <w:rsid w:val="00DD60E9"/>
    <w:rsid w:val="00DF00B0"/>
    <w:rsid w:val="00E0550B"/>
    <w:rsid w:val="00E1185D"/>
    <w:rsid w:val="00E15677"/>
    <w:rsid w:val="00E17F5B"/>
    <w:rsid w:val="00E2342E"/>
    <w:rsid w:val="00E25DA5"/>
    <w:rsid w:val="00E43F02"/>
    <w:rsid w:val="00E54976"/>
    <w:rsid w:val="00E701D6"/>
    <w:rsid w:val="00EA0571"/>
    <w:rsid w:val="00EC29A5"/>
    <w:rsid w:val="00EE1B19"/>
    <w:rsid w:val="00EF14B9"/>
    <w:rsid w:val="00EF161A"/>
    <w:rsid w:val="00EF752A"/>
    <w:rsid w:val="00F07317"/>
    <w:rsid w:val="00F1349E"/>
    <w:rsid w:val="00F3590E"/>
    <w:rsid w:val="00F37573"/>
    <w:rsid w:val="00F45775"/>
    <w:rsid w:val="00F464F6"/>
    <w:rsid w:val="00F46E21"/>
    <w:rsid w:val="00F56A75"/>
    <w:rsid w:val="00F60CD2"/>
    <w:rsid w:val="00F76111"/>
    <w:rsid w:val="00F80952"/>
    <w:rsid w:val="00F85F2C"/>
    <w:rsid w:val="00F9001F"/>
    <w:rsid w:val="00FB0F3A"/>
    <w:rsid w:val="00FC1D04"/>
    <w:rsid w:val="00FF19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197720"/>
  <w15:docId w15:val="{C7276D95-459C-478A-8563-07A5A12B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efault">
    <w:name w:val="Di default"/>
    <w:rsid w:val="00890EAA"/>
    <w:pPr>
      <w:pBdr>
        <w:top w:val="nil"/>
        <w:left w:val="nil"/>
        <w:bottom w:val="nil"/>
        <w:right w:val="nil"/>
        <w:between w:val="nil"/>
        <w:bar w:val="nil"/>
      </w:pBdr>
    </w:pPr>
    <w:rPr>
      <w:rFonts w:ascii="Helvetica Neue" w:eastAsia="Helvetica Neue" w:hAnsi="Helvetica Neue" w:cs="Helvetica Neue"/>
      <w:color w:val="000000"/>
      <w:sz w:val="22"/>
      <w:szCs w:val="22"/>
      <w:bdr w:val="nil"/>
      <w:lang w:eastAsia="it-IT"/>
    </w:rPr>
  </w:style>
  <w:style w:type="paragraph" w:customStyle="1" w:styleId="Corpo">
    <w:name w:val="Corpo"/>
    <w:rsid w:val="00573D09"/>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paragraph" w:styleId="Testofumetto">
    <w:name w:val="Balloon Text"/>
    <w:basedOn w:val="Normale"/>
    <w:link w:val="TestofumettoCarattere"/>
    <w:uiPriority w:val="99"/>
    <w:semiHidden/>
    <w:unhideWhenUsed/>
    <w:rsid w:val="00724A0C"/>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24A0C"/>
    <w:rPr>
      <w:rFonts w:ascii="Lucida Grande" w:hAnsi="Lucida Grande"/>
      <w:sz w:val="18"/>
      <w:szCs w:val="18"/>
    </w:rPr>
  </w:style>
  <w:style w:type="paragraph" w:styleId="Revisione">
    <w:name w:val="Revision"/>
    <w:hidden/>
    <w:uiPriority w:val="99"/>
    <w:semiHidden/>
    <w:rsid w:val="0064472E"/>
  </w:style>
  <w:style w:type="character" w:styleId="Collegamentoipertestuale">
    <w:name w:val="Hyperlink"/>
    <w:basedOn w:val="Carpredefinitoparagrafo"/>
    <w:uiPriority w:val="99"/>
    <w:unhideWhenUsed/>
    <w:rsid w:val="00411C86"/>
    <w:rPr>
      <w:color w:val="0563C1" w:themeColor="hyperlink"/>
      <w:u w:val="single"/>
    </w:rPr>
  </w:style>
  <w:style w:type="character" w:styleId="Menzionenonrisolta">
    <w:name w:val="Unresolved Mention"/>
    <w:basedOn w:val="Carpredefinitoparagrafo"/>
    <w:uiPriority w:val="99"/>
    <w:semiHidden/>
    <w:unhideWhenUsed/>
    <w:rsid w:val="00411C86"/>
    <w:rPr>
      <w:color w:val="605E5C"/>
      <w:shd w:val="clear" w:color="auto" w:fill="E1DFDD"/>
    </w:rPr>
  </w:style>
  <w:style w:type="character" w:styleId="Rimandocommento">
    <w:name w:val="annotation reference"/>
    <w:basedOn w:val="Carpredefinitoparagrafo"/>
    <w:uiPriority w:val="99"/>
    <w:semiHidden/>
    <w:unhideWhenUsed/>
    <w:rsid w:val="00F464F6"/>
    <w:rPr>
      <w:sz w:val="16"/>
      <w:szCs w:val="16"/>
    </w:rPr>
  </w:style>
  <w:style w:type="paragraph" w:styleId="Testocommento">
    <w:name w:val="annotation text"/>
    <w:basedOn w:val="Normale"/>
    <w:link w:val="TestocommentoCarattere"/>
    <w:uiPriority w:val="99"/>
    <w:unhideWhenUsed/>
    <w:rsid w:val="00F464F6"/>
    <w:rPr>
      <w:sz w:val="20"/>
      <w:szCs w:val="20"/>
    </w:rPr>
  </w:style>
  <w:style w:type="character" w:customStyle="1" w:styleId="TestocommentoCarattere">
    <w:name w:val="Testo commento Carattere"/>
    <w:basedOn w:val="Carpredefinitoparagrafo"/>
    <w:link w:val="Testocommento"/>
    <w:uiPriority w:val="99"/>
    <w:rsid w:val="00F464F6"/>
    <w:rPr>
      <w:sz w:val="20"/>
      <w:szCs w:val="20"/>
    </w:rPr>
  </w:style>
  <w:style w:type="paragraph" w:styleId="Soggettocommento">
    <w:name w:val="annotation subject"/>
    <w:basedOn w:val="Testocommento"/>
    <w:next w:val="Testocommento"/>
    <w:link w:val="SoggettocommentoCarattere"/>
    <w:uiPriority w:val="99"/>
    <w:semiHidden/>
    <w:unhideWhenUsed/>
    <w:rsid w:val="00F464F6"/>
    <w:rPr>
      <w:b/>
      <w:bCs/>
    </w:rPr>
  </w:style>
  <w:style w:type="character" w:customStyle="1" w:styleId="SoggettocommentoCarattere">
    <w:name w:val="Soggetto commento Carattere"/>
    <w:basedOn w:val="TestocommentoCarattere"/>
    <w:link w:val="Soggettocommento"/>
    <w:uiPriority w:val="99"/>
    <w:semiHidden/>
    <w:rsid w:val="00F464F6"/>
    <w:rPr>
      <w:b/>
      <w:bCs/>
      <w:sz w:val="20"/>
      <w:szCs w:val="20"/>
    </w:rPr>
  </w:style>
  <w:style w:type="paragraph" w:styleId="Paragrafoelenco">
    <w:name w:val="List Paragraph"/>
    <w:basedOn w:val="Normale"/>
    <w:uiPriority w:val="34"/>
    <w:qFormat/>
    <w:rsid w:val="00792E87"/>
    <w:pPr>
      <w:spacing w:before="100" w:beforeAutospacing="1" w:after="100" w:afterAutospacing="1"/>
    </w:pPr>
    <w:rPr>
      <w:rFonts w:ascii="Aptos" w:hAnsi="Aptos" w:cs="Aptos"/>
      <w:lang w:eastAsia="it-IT"/>
    </w:rPr>
  </w:style>
  <w:style w:type="paragraph" w:styleId="Intestazione">
    <w:name w:val="header"/>
    <w:basedOn w:val="Normale"/>
    <w:link w:val="IntestazioneCarattere"/>
    <w:uiPriority w:val="99"/>
    <w:unhideWhenUsed/>
    <w:rsid w:val="00A3459C"/>
    <w:pPr>
      <w:tabs>
        <w:tab w:val="center" w:pos="4819"/>
        <w:tab w:val="right" w:pos="9638"/>
      </w:tabs>
    </w:pPr>
    <w:rPr>
      <w:kern w:val="2"/>
      <w:sz w:val="22"/>
      <w:szCs w:val="22"/>
      <w:lang w:val="en-GB"/>
      <w14:ligatures w14:val="standardContextual"/>
    </w:rPr>
  </w:style>
  <w:style w:type="character" w:customStyle="1" w:styleId="IntestazioneCarattere">
    <w:name w:val="Intestazione Carattere"/>
    <w:basedOn w:val="Carpredefinitoparagrafo"/>
    <w:link w:val="Intestazione"/>
    <w:uiPriority w:val="99"/>
    <w:rsid w:val="00A3459C"/>
    <w:rPr>
      <w:kern w:val="2"/>
      <w:sz w:val="22"/>
      <w:szCs w:val="22"/>
      <w:lang w:val="en-GB"/>
      <w14:ligatures w14:val="standardContextual"/>
    </w:rPr>
  </w:style>
  <w:style w:type="character" w:styleId="Collegamentovisitato">
    <w:name w:val="FollowedHyperlink"/>
    <w:basedOn w:val="Carpredefinitoparagrafo"/>
    <w:uiPriority w:val="99"/>
    <w:semiHidden/>
    <w:unhideWhenUsed/>
    <w:rsid w:val="005814E8"/>
    <w:rPr>
      <w:color w:val="954F72" w:themeColor="followedHyperlink"/>
      <w:u w:val="single"/>
    </w:rPr>
  </w:style>
  <w:style w:type="paragraph" w:styleId="NormaleWeb">
    <w:name w:val="Normal (Web)"/>
    <w:basedOn w:val="Normale"/>
    <w:uiPriority w:val="99"/>
    <w:unhideWhenUsed/>
    <w:rsid w:val="00AA1122"/>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A1122"/>
    <w:rPr>
      <w:b/>
      <w:bCs/>
    </w:rPr>
  </w:style>
  <w:style w:type="table" w:styleId="Grigliatabella">
    <w:name w:val="Table Grid"/>
    <w:basedOn w:val="Tabellanormale"/>
    <w:uiPriority w:val="39"/>
    <w:rsid w:val="002B3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99"/>
    <w:rsid w:val="002B3B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0400">
      <w:bodyDiv w:val="1"/>
      <w:marLeft w:val="0"/>
      <w:marRight w:val="0"/>
      <w:marTop w:val="0"/>
      <w:marBottom w:val="0"/>
      <w:divBdr>
        <w:top w:val="none" w:sz="0" w:space="0" w:color="auto"/>
        <w:left w:val="none" w:sz="0" w:space="0" w:color="auto"/>
        <w:bottom w:val="none" w:sz="0" w:space="0" w:color="auto"/>
        <w:right w:val="none" w:sz="0" w:space="0" w:color="auto"/>
      </w:divBdr>
    </w:div>
    <w:div w:id="136799980">
      <w:bodyDiv w:val="1"/>
      <w:marLeft w:val="0"/>
      <w:marRight w:val="0"/>
      <w:marTop w:val="0"/>
      <w:marBottom w:val="0"/>
      <w:divBdr>
        <w:top w:val="none" w:sz="0" w:space="0" w:color="auto"/>
        <w:left w:val="none" w:sz="0" w:space="0" w:color="auto"/>
        <w:bottom w:val="none" w:sz="0" w:space="0" w:color="auto"/>
        <w:right w:val="none" w:sz="0" w:space="0" w:color="auto"/>
      </w:divBdr>
    </w:div>
    <w:div w:id="551043136">
      <w:bodyDiv w:val="1"/>
      <w:marLeft w:val="0"/>
      <w:marRight w:val="0"/>
      <w:marTop w:val="0"/>
      <w:marBottom w:val="0"/>
      <w:divBdr>
        <w:top w:val="none" w:sz="0" w:space="0" w:color="auto"/>
        <w:left w:val="none" w:sz="0" w:space="0" w:color="auto"/>
        <w:bottom w:val="none" w:sz="0" w:space="0" w:color="auto"/>
        <w:right w:val="none" w:sz="0" w:space="0" w:color="auto"/>
      </w:divBdr>
    </w:div>
    <w:div w:id="1172454869">
      <w:bodyDiv w:val="1"/>
      <w:marLeft w:val="0"/>
      <w:marRight w:val="0"/>
      <w:marTop w:val="0"/>
      <w:marBottom w:val="0"/>
      <w:divBdr>
        <w:top w:val="none" w:sz="0" w:space="0" w:color="auto"/>
        <w:left w:val="none" w:sz="0" w:space="0" w:color="auto"/>
        <w:bottom w:val="none" w:sz="0" w:space="0" w:color="auto"/>
        <w:right w:val="none" w:sz="0" w:space="0" w:color="auto"/>
      </w:divBdr>
    </w:div>
    <w:div w:id="1841851583">
      <w:bodyDiv w:val="1"/>
      <w:marLeft w:val="0"/>
      <w:marRight w:val="0"/>
      <w:marTop w:val="0"/>
      <w:marBottom w:val="0"/>
      <w:divBdr>
        <w:top w:val="none" w:sz="0" w:space="0" w:color="auto"/>
        <w:left w:val="none" w:sz="0" w:space="0" w:color="auto"/>
        <w:bottom w:val="none" w:sz="0" w:space="0" w:color="auto"/>
        <w:right w:val="none" w:sz="0" w:space="0" w:color="auto"/>
      </w:divBdr>
    </w:div>
    <w:div w:id="1985617718">
      <w:bodyDiv w:val="1"/>
      <w:marLeft w:val="0"/>
      <w:marRight w:val="0"/>
      <w:marTop w:val="0"/>
      <w:marBottom w:val="0"/>
      <w:divBdr>
        <w:top w:val="none" w:sz="0" w:space="0" w:color="auto"/>
        <w:left w:val="none" w:sz="0" w:space="0" w:color="auto"/>
        <w:bottom w:val="none" w:sz="0" w:space="0" w:color="auto"/>
        <w:right w:val="none" w:sz="0" w:space="0" w:color="auto"/>
      </w:divBdr>
    </w:div>
    <w:div w:id="207442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862</Words>
  <Characters>4917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Panico Giancarlo</dc:creator>
  <cp:keywords/>
  <dc:description/>
  <cp:lastModifiedBy>tommaso npr</cp:lastModifiedBy>
  <cp:revision>2</cp:revision>
  <dcterms:created xsi:type="dcterms:W3CDTF">2025-09-10T07:51:00Z</dcterms:created>
  <dcterms:modified xsi:type="dcterms:W3CDTF">2025-09-10T07:51:00Z</dcterms:modified>
</cp:coreProperties>
</file>